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it"/>
        </w:rPr>
        <w:t>Informativa sulla privacy del driver della tavoletta OEM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it"/>
        </w:rPr>
        <w:t xml:space="preserve">La presente Informativa sulla privacy riguarda l’elaborazione dei dati personali da parte del software del driver della tavoletta OEM fornito da Wacom Co., Ltd., dalle sue affiliate (nel complesso "Gruppo Wacom") e dai suoi Clienti OEM e si applica all’utilizzo del driver della tavoletta OEM da parte dell’utente. Questa Informativa sulla privacy OEM costituisce parte della </w:t>
      </w:r>
      <w:hyperlink r:id="rId6" w:history="1">
        <w:r>
          <w:rPr>
            <w:lang w:val="it"/>
          </w:rPr>
          <w:t>Privacy policy di Wacom</w:t>
        </w:r>
      </w:hyperlink>
      <w:r>
        <w:rPr>
          <w:lang w:val="it"/>
        </w:rPr>
        <w:t xml:space="preserve"> (</w:t>
      </w:r>
      <w:hyperlink r:id="rId7" w:history="1">
        <w:r>
          <w:rPr>
            <w:rStyle w:val="Hyperlink"/>
            <w:lang w:val="it"/>
          </w:rPr>
          <w:t>https://www.wacom.com/privacy</w:t>
        </w:r>
      </w:hyperlink>
      <w:r>
        <w:rPr>
          <w:lang w:val="it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it"/>
        </w:rPr>
        <w:t>1.</w:t>
      </w:r>
      <w:r>
        <w:rPr>
          <w:lang w:val="it"/>
        </w:rPr>
        <w:tab/>
        <w:t>Definizioni</w:t>
      </w:r>
    </w:p>
    <w:p w14:paraId="60FBF1B0" w14:textId="77777777" w:rsidR="00457970" w:rsidRPr="00AB330E" w:rsidRDefault="00457970" w:rsidP="00457970">
      <w:r>
        <w:rPr>
          <w:lang w:val="it"/>
        </w:rPr>
        <w:tab/>
        <w:t>1.1.</w:t>
      </w:r>
      <w:r>
        <w:rPr>
          <w:lang w:val="it"/>
        </w:rPr>
        <w:tab/>
        <w:t xml:space="preserve">Per "Dati personali" si intende qualsiasi informazione a cui è possibile accedere in forma singola o in combinazione con altre informazioni. Si riferiscono all’utente come individuo identificato o identificabile. </w:t>
      </w:r>
    </w:p>
    <w:p w14:paraId="3C73D59D" w14:textId="77777777" w:rsidR="00457970" w:rsidRPr="00AB330E" w:rsidRDefault="00457970" w:rsidP="00457970">
      <w:r>
        <w:rPr>
          <w:lang w:val="it"/>
        </w:rPr>
        <w:tab/>
        <w:t>1.2.</w:t>
      </w:r>
      <w:r>
        <w:rPr>
          <w:lang w:val="it"/>
        </w:rPr>
        <w:tab/>
        <w:t>Per "Utente" si intende un individuo che utilizza il driver della tavoletta OEM.</w:t>
      </w:r>
      <w:r>
        <w:rPr>
          <w:lang w:val="it"/>
        </w:rPr>
        <w:tab/>
      </w:r>
    </w:p>
    <w:p w14:paraId="42D6B85C" w14:textId="77777777" w:rsidR="00457970" w:rsidRPr="00AB330E" w:rsidRDefault="00457970" w:rsidP="00457970">
      <w:r>
        <w:rPr>
          <w:lang w:val="it"/>
        </w:rPr>
        <w:tab/>
        <w:t>1.3.</w:t>
      </w:r>
      <w:r>
        <w:rPr>
          <w:lang w:val="it"/>
        </w:rPr>
        <w:tab/>
        <w:t xml:space="preserve">"Wacom", "noi", o "nostro" si riferiscono all’azienda del gruppo Wacom pertinente, specificata dalla </w:t>
      </w:r>
      <w:hyperlink r:id="rId8" w:history="1">
        <w:r>
          <w:rPr>
            <w:lang w:val="it"/>
          </w:rPr>
          <w:t>Privacy policy di Wacom</w:t>
        </w:r>
      </w:hyperlink>
      <w:r>
        <w:rPr>
          <w:lang w:val="it"/>
        </w:rPr>
        <w:t>, responsabile dell’elaborazione dei dati personali o non personali dell’utente ricevuti in relazione all’utilizzo del driver della tavoletta OEM da parte dell’Utente. L'elenco delle società del gruppo Wacom si trova all'indirizzo:</w:t>
      </w:r>
    </w:p>
    <w:p w14:paraId="426B7079" w14:textId="77777777" w:rsidR="00457970" w:rsidRPr="00AB330E" w:rsidRDefault="00457970" w:rsidP="00457970">
      <w:r>
        <w:rPr>
          <w:lang w:val="it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it"/>
        </w:rPr>
        <w:tab/>
        <w:t>1.4</w:t>
      </w:r>
      <w:r>
        <w:rPr>
          <w:lang w:val="it"/>
        </w:rPr>
        <w:tab/>
        <w:t>Per "Cliente OEM" si intende un’azienda che acquista e/o concede in licenza la tecnologia Wacom e il software del driver della tavoletta OEM per l’integrazione e la distribuzione con il relativo dispositivo OEM ai propri clienti ("Utenti").</w:t>
      </w:r>
    </w:p>
    <w:p w14:paraId="149A3B3A" w14:textId="588C355E" w:rsidR="00457970" w:rsidRDefault="00457970" w:rsidP="00584F09">
      <w:pPr>
        <w:ind w:firstLine="720"/>
      </w:pPr>
      <w:r>
        <w:rPr>
          <w:lang w:val="it"/>
        </w:rPr>
        <w:t>1.5</w:t>
      </w:r>
      <w:r>
        <w:rPr>
          <w:lang w:val="it"/>
        </w:rPr>
        <w:tab/>
        <w:t>Per "Driver della tavoletta OEM" si intendono i vari componenti software di supporto ai componenti della tavoletta Wacom sul dispositivo OEM dell’Utente, consentendo di regolare le impostazioni e l’accesso ad altre informazioni pertinenti.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it"/>
        </w:rPr>
        <w:t>2.</w:t>
      </w:r>
      <w:r>
        <w:rPr>
          <w:lang w:val="it"/>
        </w:rPr>
        <w:tab/>
        <w:t>Link Internet forniti dal driver della tavoletta OEM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it"/>
        </w:rPr>
        <w:t>2.1</w:t>
      </w:r>
      <w:r>
        <w:rPr>
          <w:lang w:val="it"/>
        </w:rPr>
        <w:tab/>
        <w:t>Il Driver della tavoletta OEM può includere link al sito Web di Wacom, al sito Web del Cliente OEM e ad altri siti di terzi a scopo informativo e formativo. Seguire questi link è facoltativo e non influisce sulle prestazioni del Driver della tavoletta OEM o del prodotto Wacom.</w:t>
      </w:r>
      <w:bookmarkStart w:id="0" w:name="_Hlk53065557"/>
      <w:r>
        <w:rPr>
          <w:lang w:val="it"/>
        </w:rPr>
        <w:t xml:space="preserve"> Seguendo questi link e accedendo a questi siti Web, qualsiasi interazione con questi ultimi sarà gestita dalle rispettive privacy policy degli stessi.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it"/>
        </w:rPr>
        <w:t>2.2</w:t>
      </w:r>
      <w:r>
        <w:rPr>
          <w:lang w:val="it"/>
        </w:rPr>
        <w:tab/>
        <w:t>Gli aggiornamenti del driver e altre informazioni sul driver della tavoletta OEM possono essere disponibili sul sito Web di Wacom, sui siti Web del Cliente OEM e su altri siti Web di terzi a scopo informativo e formativo. La visita di questi siti è facoltativa e accedendo a essi, qualsiasi interazione sarà gestita dalle loro rispettive privacy policy.</w:t>
      </w:r>
    </w:p>
    <w:p w14:paraId="29F9DEE1" w14:textId="77777777" w:rsidR="00457970" w:rsidRPr="00AB330E" w:rsidRDefault="00457970" w:rsidP="00457970">
      <w:r>
        <w:rPr>
          <w:lang w:val="it"/>
        </w:rPr>
        <w:t>3.</w:t>
      </w:r>
      <w:r>
        <w:rPr>
          <w:lang w:val="it"/>
        </w:rPr>
        <w:tab/>
        <w:t>Analisi sull’utilizzo del driver della tavoletta OEM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it"/>
        </w:rPr>
        <w:lastRenderedPageBreak/>
        <w:t>Il driver della tavoletta OEM non raccoglie né condivide dati personali o di altro tipo dell’Utente né del suo dispositivo con Wacom.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it"/>
        </w:rPr>
        <w:t>4.</w:t>
      </w:r>
      <w:r>
        <w:rPr>
          <w:lang w:val="it"/>
        </w:rPr>
        <w:tab/>
        <w:t>Modifiche e aggiornamenti alla presente Informativa sulla privacy</w:t>
      </w:r>
    </w:p>
    <w:p w14:paraId="0D8E2F9D" w14:textId="77777777" w:rsidR="00584F09" w:rsidRPr="00AB330E" w:rsidRDefault="00584F09" w:rsidP="00584F09">
      <w:r>
        <w:rPr>
          <w:lang w:val="it"/>
        </w:rPr>
        <w:t>L’Informativa sulla privacy può essere rivisita periodicamente. Le revisioni entreranno in vigore una volta pubblicate e rese disponibili da Wacom attraverso il driver della tavoletta OEM.</w:t>
      </w:r>
    </w:p>
    <w:p w14:paraId="22C55AA0" w14:textId="77777777" w:rsidR="00584F09" w:rsidRPr="00AB330E" w:rsidRDefault="00584F09" w:rsidP="00584F09">
      <w:r>
        <w:rPr>
          <w:lang w:val="it"/>
        </w:rPr>
        <w:t>Fine.</w:t>
      </w:r>
    </w:p>
    <w:p w14:paraId="08328123" w14:textId="77777777" w:rsidR="00584F09" w:rsidRPr="00AB330E" w:rsidRDefault="00584F09" w:rsidP="00584F09"/>
    <w:p w14:paraId="1490BEBF" w14:textId="267167FE" w:rsidR="00584F09" w:rsidRDefault="00584F09" w:rsidP="00584F09">
      <w:r>
        <w:rPr>
          <w:lang w:val="it"/>
        </w:rPr>
        <w:t>© 202</w:t>
      </w:r>
      <w:r w:rsidR="002165BF">
        <w:rPr>
          <w:lang w:val="it"/>
        </w:rPr>
        <w:t>3</w:t>
      </w:r>
      <w:r>
        <w:rPr>
          <w:lang w:val="it"/>
        </w:rPr>
        <w:t xml:space="preserve"> Wacom Co., Ltd. Tutti i diritti riservati.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65BF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165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2023-01-19T17:51:00Z</dcterms:modified>
</cp:coreProperties>
</file>